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提名者材料</w:t>
            </w:r>
          </w:p>
        </w:tc>
        <w:tc>
          <w:tcPr>
            <w:tcW w:w="8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院士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个人身份证正反面、院士证明（包含具体行业或专业领域证明）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金奖获得者（单位）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统一社会信用代码或组织机构代码、所获金奖证明材料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金奖获得者（个人）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个人身份证正反面、所获金奖证明材料（包含具体行业或专业领域证明）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提名公示情况的证明材料（截图、照片等）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线下提交纸质件并盖提名单位章或提名个人签章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被提名者自我评价表</w:t>
      </w:r>
    </w:p>
    <w:tbl>
      <w:tblPr>
        <w:tblStyle w:val="9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249"/>
        <w:gridCol w:w="1253"/>
        <w:gridCol w:w="814"/>
        <w:gridCol w:w="5157"/>
        <w:gridCol w:w="1710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一级指标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二级指标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三级指标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分值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yellow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佐证材料（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纸质件系复印件的，由被提名单位盖章或由被提名个人签章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艺术作品思想内容（30分）</w:t>
            </w: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政治观点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（18分）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社会主义核心价值观弘扬程度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作品内容弘扬社会主义核心价值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观，能够很好地引导群众树立正确的世界观、人生观、价值观的，得7-9分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作品内容符合社会主义核心价值观，能够较好地引导群众树立正确的世界观、人生观、价值观的，得4-6分</w:t>
            </w:r>
          </w:p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作品内容符合社会主义核心价值观，能够引导群众树立正确的世界观、人生观、价值观的，得0-3分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作品内容弘扬社会主义核心价值观，引导群众树立正确的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观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思想健康性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作品内容健康向上，积极弘扬正能量的，得7-9分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作品内容健康，弘扬正能量的，得4-6分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作品内容健康，一定程度弘扬正能量的，得0-3分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作品内容健康向上，弘扬正能量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弘扬优秀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（12分）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中华民族特色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体现程度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作品能很好地体现中华民族特色、弘扬中华民族传统美德的，得3分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作品能较好地体现中华民族特色、弘扬中华民族传统美德的，得2分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作品能一定程度体现中华民族特色、体现中华民族美德的，得0-1分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作品体现中华民族特色、弘扬中华民族传统美德的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文化自信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提升程度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作品能很好地彰显及提升文化自信的，得5-6分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作品能较好地彰显及提升文化自信的，得3-4分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作品能一定程度彰显及提升文化自信的，得0-2分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作品彰显及提升文化自信的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精气神提振程度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作品能很好地引导群众提振精气神、奋进新征程的，得3分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作品能较好地引导群众提振精气神、奋进新征程的，得2分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作品对引导群众提振精气神、奋进新征程起到一定作用的，得0-1分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作品引导群众提振精气神、奋进新征程的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艺术作品独创性及特性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独创性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（9分）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独立完成情况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作品由著作权人完全独立创作的，得2-3分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作品经著作权人二次创作完成的，得0-1分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提供作品独创性声明（二次创作还需提供原作品权利人授权许可）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个性表达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作品思想观点深刻、情感表达独到的，得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作品思想观点深入、情感表达丰富的，得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作品思想观点有一定深度、情感表达到位的，得0-1分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作品思想观点和情感表达方面特点的证明材料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智力成果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作品智力创作活动投入巨大，智力成果丰厚的，得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作品智力创作活动投入较大，智力成果显著的，得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作品智力创作活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动有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投入，取得一定的智力成果的，得0-1分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作品智力创作活动投入和智力成果的证明材料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特性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（11分）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作品内容、形式、情感表达等方面创意独到，新颖性高的，得3分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作品内容、形式、情感表达等方面创意有特点，新颖性较高的，得2分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作品内容、形式、情感表达等方面体现一定创意，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作品内容、形式、情感表达等方面新颖性的相关证明材料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作品运用色彩、空间等艺术语言的技艺高超，表达的艺术主张独到的，得6-8分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作品运用色彩、空间等艺术语言的技艺娴熟，表达的艺术主张独特的，得4-5分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作品运用色彩、空间等艺术语言的技艺熟练，表达的艺术主张有特点的，得0-3分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提供体现作品艺术性的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艺术作品转化传播运用与经济效益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（30分）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转化效果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转化形态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作品转化为电影、电视剧、动漫等4种以上形态的，得4-5分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作品转化为电影、电视剧、动漫等2-3种形态的，得2-3分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作品转化为电影、电视剧、动漫等单一形态的，得0-1分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艺术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作品著作权许可使用合同复印件、转化成果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作品获国内外顶尖艺术类奖项的，得4-5分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作品获多项省级以上艺术类奖项的，得2-3分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作品获得过省级及以下艺术类奖项的，得0-1分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提供获奖证书、文件等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传播效果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影响力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作品在经济、社会、文化、公共政策、公共服务等方面带来重大影响和良好效益且成效显著的，得4-5分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作品在经济、社会、文化、公共政策、公共服务等方面带来重要影响和较好效益的，得2-3分</w:t>
            </w:r>
          </w:p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作品在经济、社会、文化、公共政策、公共服务等方面带来一定影响和效益的，得0-1分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作品在经济、社会、文化、公共政策、公共服务等方面带来影响和效益的相关证明材料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广泛性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作品传播地域、领域、受众广泛的，得4-5分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作品传播地域、领域、受众较为广泛的，得2-3分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作品传播地域、领域、受众有一定广度的，得0-1分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提供推介活动等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产品销售情况好，覆盖10个及以上省级行政区的，得3分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产品销售情况较好，覆盖5-10个省级行政区的，得2分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有一定销量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提供销售数据财务报表复印件并盖章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产业链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贡献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产品对整个上下游产业链带动作用显著的，得2分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产品对整个上下游产业链有一定带动作用，得0-1分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产品对整个上下游产业链产生带动的相关证明材料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版权贸易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版权交易金额大的，得3分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版权交易金额较大的，得2分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提供交易数据财务报表复印件并盖章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版权输出至全球多个主要国家的，得2分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版权输出至国外的，得0-1分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提供版权输出合同复印件等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12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艺术作品保护举措完善度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0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版权保护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机制建设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主体内部版权使用管理机构健全、管理人员设置合理及管理规范制度齐全的，得5-6分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主体内部版权使用管理机构较健全、管理人员设置较合理及管理规范制度较齐全的，得3-4分</w:t>
            </w:r>
          </w:p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主体内部版权使用配置管理机构和管理人员，有一定的管理规范和制度的，得0-2分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提供版权使用管理机构、管理人员设置、管理规范制度文件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保护措施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对侵权行为采取多种形式、较为完善的维权措施和预防措施的，得5-6分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对侵权行为采取较为有效的维权措施和预防措施的，得3-4分</w:t>
            </w:r>
          </w:p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对侵权行为采取了维权措施和预防措施的，得0-2分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提供版权保护措施相关文件、具体案例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0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保护效果</w:t>
            </w:r>
          </w:p>
        </w:tc>
        <w:tc>
          <w:tcPr>
            <w:tcW w:w="7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49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版权保护措施及时性和有效性高，相关典型经验被复制推广的，得6-8分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版权保护措施及时性和有效性较高的，得4-5分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版权保护措施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及时性和有效性的，得0-3分</w:t>
            </w:r>
          </w:p>
        </w:tc>
        <w:tc>
          <w:tcPr>
            <w:tcW w:w="1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3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典型案例</w:t>
            </w:r>
          </w:p>
        </w:tc>
      </w:tr>
    </w:tbl>
    <w:p>
      <w:pPr>
        <w:pStyle w:val="7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172A27"/>
    <w:rsid w:val="02370DF0"/>
    <w:rsid w:val="05D628AD"/>
    <w:rsid w:val="09327047"/>
    <w:rsid w:val="09551A27"/>
    <w:rsid w:val="0C9D2956"/>
    <w:rsid w:val="0CB53EF5"/>
    <w:rsid w:val="0DC05A52"/>
    <w:rsid w:val="1083311E"/>
    <w:rsid w:val="10F13A5C"/>
    <w:rsid w:val="111210F0"/>
    <w:rsid w:val="11D502B2"/>
    <w:rsid w:val="16ED15C1"/>
    <w:rsid w:val="1BA340D7"/>
    <w:rsid w:val="1D922D59"/>
    <w:rsid w:val="20F73E87"/>
    <w:rsid w:val="22A741A7"/>
    <w:rsid w:val="23C50E05"/>
    <w:rsid w:val="254D2D75"/>
    <w:rsid w:val="2C88685F"/>
    <w:rsid w:val="34EA227F"/>
    <w:rsid w:val="37F74FD9"/>
    <w:rsid w:val="3F634A8A"/>
    <w:rsid w:val="401C4ADE"/>
    <w:rsid w:val="40237530"/>
    <w:rsid w:val="44E14A79"/>
    <w:rsid w:val="44E25DD6"/>
    <w:rsid w:val="458A4B1F"/>
    <w:rsid w:val="55551FBF"/>
    <w:rsid w:val="5E6FA3C4"/>
    <w:rsid w:val="5FAA6207"/>
    <w:rsid w:val="5FE3CF8C"/>
    <w:rsid w:val="61E35AE6"/>
    <w:rsid w:val="6DFF2ECF"/>
    <w:rsid w:val="6F125A01"/>
    <w:rsid w:val="720503D4"/>
    <w:rsid w:val="72AB324F"/>
    <w:rsid w:val="75FE2C0C"/>
    <w:rsid w:val="776A33D6"/>
    <w:rsid w:val="794E737C"/>
    <w:rsid w:val="7C530EBB"/>
    <w:rsid w:val="7DB50B09"/>
    <w:rsid w:val="7F804799"/>
    <w:rsid w:val="7FCAFEA0"/>
    <w:rsid w:val="BEEF01DC"/>
    <w:rsid w:val="CC479B29"/>
    <w:rsid w:val="D4BE58B0"/>
    <w:rsid w:val="DF7E0AC8"/>
    <w:rsid w:val="DFF628EE"/>
    <w:rsid w:val="EF731B5C"/>
    <w:rsid w:val="FB64F975"/>
    <w:rsid w:val="FBE6034F"/>
    <w:rsid w:val="FCFF7590"/>
    <w:rsid w:val="FDD75D74"/>
    <w:rsid w:val="FF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3025</Words>
  <Characters>3131</Characters>
  <Lines>0</Lines>
  <Paragraphs>0</Paragraphs>
  <TotalTime>1</TotalTime>
  <ScaleCrop>false</ScaleCrop>
  <LinksUpToDate>false</LinksUpToDate>
  <CharactersWithSpaces>3131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2022-10-15T14:54:00Z</dcterms:created>
  <dc:creator>井的男朋友</dc:creator>
  <cp:lastModifiedBy>王潇雨</cp:lastModifiedBy>
  <dcterms:modified xsi:type="dcterms:W3CDTF">2022-11-23T04:18:37Z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6F525F1B62B44B39822F32074DDA028C</vt:lpwstr>
  </property>
</Properties>
</file>